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bCs/>
          <w:i/>
          <w:iCs/>
          <w:sz w:val="24"/>
          <w:szCs w:val="24"/>
        </w:rPr>
        <w:t>Załącznik Nr 2</w:t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i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</w:r>
    </w:p>
    <w:p>
      <w:pPr>
        <w:pStyle w:val="Tretekstu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i w:val="false"/>
          <w:iCs w:val="false"/>
          <w:smallCaps/>
          <w:color w:val="000000"/>
          <w:sz w:val="24"/>
          <w:szCs w:val="24"/>
        </w:rPr>
        <w:t xml:space="preserve">„ </w:t>
      </w:r>
      <w:r>
        <w:rPr>
          <w:rFonts w:cs="Arial"/>
          <w:b/>
          <w:i w:val="false"/>
          <w:iCs w:val="false"/>
          <w:smallCaps/>
          <w:color w:val="000000"/>
          <w:sz w:val="24"/>
          <w:szCs w:val="24"/>
        </w:rPr>
        <w:t>usługi serwisowania pojazdów służbowych  spzoz  w lubartowie”</w:t>
      </w:r>
    </w:p>
    <w:p>
      <w:pPr>
        <w:pStyle w:val="Tretekstu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Szczegółowy opis przedmiotu zamówienia </w:t>
      </w:r>
    </w:p>
    <w:p>
      <w:pPr>
        <w:pStyle w:val="Normal"/>
        <w:spacing w:lineRule="auto" w:line="36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227" w:right="0" w:hanging="227"/>
        <w:jc w:val="lef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1. Przedmiotem zamówienia jest usługa polegająca na utrzymaniu w zdolności techniczno-eksploatacyjnej i ruchowej pojazdów należących do SPZOZ  w Lubartowie w celu zapewnienia ich bezpiecznego i bezawaryjnego użytkowania.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2. Pojazdy należące do SP ZOZ w Lubartowie: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Fiat Ducato rok budowy 2013, poj. silnika 1956 cm³, moc silnika 85 kW, rodzaj paliwa: olej napędowy,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Volkswagen Crafter rok budowy 2009, poj. silnika 2461 cm</w:t>
      </w:r>
      <w:r>
        <w:rPr>
          <w:rFonts w:cs="Arial"/>
          <w:sz w:val="24"/>
          <w:szCs w:val="24"/>
          <w:vertAlign w:val="superscript"/>
        </w:rPr>
        <w:t xml:space="preserve">3     </w:t>
      </w:r>
      <w:r>
        <w:rPr>
          <w:rFonts w:cs="Arial"/>
          <w:sz w:val="24"/>
          <w:szCs w:val="24"/>
        </w:rPr>
        <w:t>moc silnika 120 kW , rodzaj paliwa: olej napędowy,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Volkswagen Crafter rok budowy 2009, poj. silnika 2461 cm</w:t>
      </w: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 xml:space="preserve">   moc silnika 120 kW , rodzaj paliwa: olej napędowy,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Volkswagen Crafter rok budowy 2009, poj. silnika 2461 cm</w:t>
      </w:r>
      <w:r>
        <w:rPr>
          <w:rFonts w:cs="Arial"/>
          <w:sz w:val="24"/>
          <w:szCs w:val="24"/>
          <w:vertAlign w:val="superscript"/>
        </w:rPr>
        <w:t xml:space="preserve">3,  </w:t>
      </w:r>
      <w:r>
        <w:rPr>
          <w:rFonts w:cs="Arial"/>
          <w:sz w:val="24"/>
          <w:szCs w:val="24"/>
        </w:rPr>
        <w:t>moc silnika 120 kW , rodzaj paliwa: olej napędowy,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Volkswagen Crafter rok budowy 2009, poj. silnika 2461 cm</w:t>
      </w: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 xml:space="preserve">  moc silnika 120 kW, rodzaj paliwa: olej napędowy,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Mercedes Sprinter 313 TDI rok budowy 2001, poj. silnika 2148 cm</w:t>
      </w: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 xml:space="preserve">  moc silnika 95 kW, rodzaj paliwa: olej napędowy,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/>
      </w:pPr>
      <w:bookmarkStart w:id="0" w:name="__DdeLink__613_948859917"/>
      <w:r>
        <w:rPr>
          <w:rFonts w:cs="Arial"/>
          <w:sz w:val="24"/>
          <w:szCs w:val="24"/>
        </w:rPr>
        <w:t>Renault</w:t>
      </w:r>
      <w:bookmarkEnd w:id="0"/>
      <w:r>
        <w:rPr>
          <w:rFonts w:cs="Arial"/>
          <w:sz w:val="24"/>
          <w:szCs w:val="24"/>
        </w:rPr>
        <w:t xml:space="preserve"> Trafic  rok budowy 2007, poj. silnika 1995 cm</w:t>
      </w: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 xml:space="preserve">   moc silnika 84 kW rodzaj paliwa: olej napędowy,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rPr/>
      </w:pPr>
      <w:r>
        <w:rPr>
          <w:rFonts w:cs="Arial"/>
          <w:sz w:val="24"/>
          <w:szCs w:val="24"/>
        </w:rPr>
        <w:t>Peugeot Partner rok budowy 2010, poj. silnika 156</w:t>
      </w:r>
      <w:r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cm³, moc silnika 55 kW, rodzaj paliwa: olej napędowy,</w:t>
      </w:r>
    </w:p>
    <w:p>
      <w:pPr>
        <w:pStyle w:val="Normal"/>
        <w:tabs>
          <w:tab w:val="left" w:pos="360" w:leader="none"/>
        </w:tabs>
        <w:spacing w:lineRule="auto" w:line="360" w:before="0" w:after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3. W ramach przedmiotu zamówienia Wykonawca zobowiązuje się w szczególności do: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Arial"/>
          <w:sz w:val="24"/>
          <w:szCs w:val="24"/>
        </w:rPr>
        <w:t>wykonywania konserwacji, napraw i przeglądów okresowych,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Arial"/>
          <w:sz w:val="24"/>
          <w:szCs w:val="24"/>
        </w:rPr>
        <w:t>badania technicznego pojazdów,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napraw pojazdów uszkodzonych w trakcie eksploatacji,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naprawy i wymiany ogumienia, także sezonowego,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bieżącego uzupełniania płynów eksploatacyjnych, z wyjątkiem płynów do spryskiwaczy,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zapewnienia dostępności materiałów i części zamiennych,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potwierdzania przeglądów po wykonaniu usług z odpowiednim wpisem w książce serwisowej,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naprawy uszkodzonej karoserii ( napraw blacharskich),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holowania uszkodzonych pojazdów w celu ich naprawy,</w:t>
      </w:r>
    </w:p>
    <w:p>
      <w:pPr>
        <w:pStyle w:val="Normal"/>
        <w:numPr>
          <w:ilvl w:val="0"/>
          <w:numId w:val="1"/>
        </w:numPr>
        <w:tabs>
          <w:tab w:val="left" w:pos="1418" w:leader="none"/>
        </w:tabs>
        <w:spacing w:lineRule="auto" w:line="360"/>
        <w:ind w:left="709" w:right="0" w:hanging="28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innych czynności wynikających z bieżącej eksploatacji i koniecznych w celu zapewnienia bezpiecznego i bezawaryjnego użytkowania pojazdów,</w:t>
      </w:r>
    </w:p>
    <w:p>
      <w:pPr>
        <w:pStyle w:val="Normal"/>
        <w:numPr>
          <w:ilvl w:val="0"/>
          <w:numId w:val="1"/>
        </w:numPr>
        <w:tabs>
          <w:tab w:val="left" w:pos="1418" w:leader="none"/>
        </w:tabs>
        <w:spacing w:lineRule="auto" w:line="360"/>
        <w:ind w:left="709" w:right="0" w:hanging="283"/>
        <w:rPr/>
      </w:pP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udzielenia minimum 6-miesięcznej gwarancji na wykonaną usługę, a na nowe podzespoły - gwarancja udzielona przez producenta.</w:t>
      </w:r>
    </w:p>
    <w:p>
      <w:pPr>
        <w:pStyle w:val="Normal"/>
        <w:tabs>
          <w:tab w:val="left" w:pos="644" w:leader="none"/>
        </w:tabs>
        <w:spacing w:lineRule="auto" w:line="360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4.  Dopuszcza się wykonywanie napraw przez Podwykonawców pod warunkiem, że Wykonawca weźmie pełną odpowiedzialność za część prac wykonanych przez Podwykonawcę - Zamawiający nie dopuszcza faktur częściowych od Podwykonawców.</w:t>
      </w:r>
    </w:p>
    <w:p>
      <w:pPr>
        <w:pStyle w:val="Normal"/>
        <w:tabs>
          <w:tab w:val="left" w:pos="285" w:leader="none"/>
        </w:tabs>
        <w:spacing w:lineRule="auto" w:line="360"/>
        <w:ind w:left="13" w:right="0" w:firstLine="1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5. Części użyte do napraw będą nowe. Dopuszcza się regenerację podzespołów, po wcześniejszym uzgodnieniu z Zamawiającym. Na żądanie </w:t>
        <w:tab/>
        <w:tab/>
        <w:t xml:space="preserve">     Zamawiającego, Wykonawca przedstawi źródło pochodzenia części oraz fakturę.</w:t>
        <w:br/>
        <w:t xml:space="preserve">6.  Przedmiot zamówienia powinien być wykonany zgodnie z zaleceniami producenta oraz spełniać wszelkie normy jakościowe obowiązujące w  </w:t>
        <w:tab/>
        <w:t xml:space="preserve">  </w:t>
        <w:tab/>
        <w:t>Polsce i Unii Europejskiej.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7.   W zakresie przeglądu okresowego Wykonawca będzie zobowiązany w szczególności do: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wymiany oleju silnikowego,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uzupełnianie płynu AD BLUE w samochodach </w:t>
      </w:r>
      <w:r>
        <w:rPr>
          <w:rFonts w:cs="Times New Roman" w:ascii="Times New Roman" w:hAnsi="Times New Roman"/>
          <w:sz w:val="24"/>
          <w:szCs w:val="24"/>
          <w:lang w:val="de-DE"/>
        </w:rPr>
        <w:t>Volkswagen Crafter,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wymiany filtra oleju,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wymiany filtra paliwa,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wymiany filtra powietrza,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instalacji elektrycznej w tym stanu akumulatora,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oświetlenia pojazdu w tym ustawienie reflektorów i ewentualne uzupełnienie,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specjalistycznego oświetlenia pojazdu w tym sprawdzenie alarmowych lamp błyskowych i stan głośnika w urządzeniu alarmowym 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układu zapłonowego,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sprawdzenie sprawności układu hamulcowego w tym ewentualne nieszczelności i stan materiałów ciernych ( klocki, tarcze, szczęki, bębny ) oraz stan płynu hamulcowego,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sprawności układu kierowniczego,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sprawności układu zawieszenia przedniego i tylnego,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sprawdzenia sprawności i szczelności skrzyni biegów oraz mechanizmu przeniesienia napędu,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opon samochodowych w tym stan bieżnika oraz ciśnienia powietrza w oponach,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i szczelności układu chłodzenia silnika oraz ogrzewania pojazdu,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naciągu paska wieloklinowego napędzającego alternator, pompę wodną i inne urządzenia potrzebne do pracy pojazdu,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szczelności i mocowania układu wydechowego,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sprawdzenia stanu klimatyzacji ze sprawdzeniem szczelności układu, poziomu czynnika chłodzącego oraz sprawdzeniem stanu filtra przeciwpyłowego,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zawiasów, rolek i ograniczników drzwi,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sprawdzenia stanu mocowania wszelkich osłon przegubów pod pojazdem,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wykonanie innych napraw wynikłych w trakcie przeglądu okresowego.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Zakres powyższych czynności jest uzależniony od marki i modelu samochodu oraz od zaleceń producenta. Przegląd  powinien być wykonany zgodnie z zaleceniami producenta zawartymi w książce przeglądów serwisowych oraz spełniać wszelkie normy jakościowe obowiązujące w Polsce i Unii Europejskiej.</w:t>
      </w:r>
    </w:p>
    <w:p>
      <w:pPr>
        <w:pStyle w:val="Default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 wykonaniu badania technicznego Wykonawca zobowiązany jest do:</w:t>
      </w:r>
    </w:p>
    <w:p>
      <w:pPr>
        <w:pStyle w:val="Default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wyzerowania wskazania wyświetlacza terminów przeglądu (wskaźnika obsługi technicznej),</w:t>
      </w:r>
    </w:p>
    <w:p>
      <w:pPr>
        <w:pStyle w:val="Default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wpisać stan licznika kolejnego przeglądu na karcie przeglądów lub w książce przeglądów serwisowych. </w:t>
      </w:r>
    </w:p>
    <w:p>
      <w:pPr>
        <w:pStyle w:val="Default"/>
        <w:spacing w:lineRule="auto" w:line="360"/>
        <w:ind w:left="720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NAPRAWY: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i w:val="false"/>
          <w:iCs w:val="false"/>
          <w:color w:val="000000"/>
          <w:sz w:val="24"/>
          <w:szCs w:val="24"/>
          <w:u w:val="none"/>
        </w:rPr>
        <w:t>Naprawy powinny być wykonana zgodnie ze sztuką napraw zlecanych przez Producenta danej marki i modelu pojazdu. Ww. usługa powinna spełniać wszelkie normy jakościowe obowiązujące w Polsce i Unii Europejskiej.</w:t>
      </w:r>
    </w:p>
    <w:p>
      <w:pPr>
        <w:pStyle w:val="Normal"/>
        <w:spacing w:lineRule="auto" w:line="360"/>
        <w:jc w:val="both"/>
        <w:rPr/>
      </w:pPr>
      <w:r>
        <w:rPr>
          <w:rFonts w:cs="Arial"/>
          <w:b/>
          <w:bCs/>
          <w:sz w:val="24"/>
          <w:szCs w:val="24"/>
        </w:rPr>
        <w:t>Badania techniczne  pojazdów</w:t>
      </w:r>
      <w:r>
        <w:rPr>
          <w:rFonts w:cs="Arial"/>
          <w:sz w:val="24"/>
          <w:szCs w:val="24"/>
        </w:rPr>
        <w:t xml:space="preserve"> wykonywane będą na podstawie wskazania stanu licznika w zależności od marki i modelu pojazdu jednak nie dłużej  niż co 12 miesięcy.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120" w:after="120"/>
        <w:ind w:left="0" w:right="0" w:hanging="0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Termin realizacji zamówienia: 12 miesiące od dnia zawarcia umowy.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 Narrow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0"/>
        <w:rFonts w:ascii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b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b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b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b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b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b/>
        <w:rFonts w:cs="OpenSymbol;Arial Unicode MS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both"/>
      <w:outlineLvl w:val="0"/>
    </w:pPr>
    <w:rPr>
      <w:rFonts w:ascii="Arial Narrow" w:hAnsi="Arial Narrow" w:cs="Arial Narrow"/>
      <w:b/>
      <w:bCs/>
      <w:i/>
      <w:i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WW8Num3z0">
    <w:name w:val="WW8Num3z0"/>
    <w:qFormat/>
    <w:rPr>
      <w:rFonts w:cs="Times New Roman"/>
      <w:sz w:val="20"/>
      <w:szCs w:val="20"/>
      <w:lang w:val="de-DE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cs="Times New Roman"/>
      <w:sz w:val="20"/>
      <w:szCs w:val="20"/>
      <w:lang w:val="de-DE"/>
    </w:rPr>
  </w:style>
  <w:style w:type="character" w:styleId="ListLabel3">
    <w:name w:val="ListLabel 3"/>
    <w:qFormat/>
    <w:rPr>
      <w:rFonts w:cs="OpenSymbol;Arial Unicode MS"/>
      <w:b/>
      <w:sz w:val="20"/>
    </w:rPr>
  </w:style>
  <w:style w:type="character" w:styleId="ListLabel4">
    <w:name w:val="ListLabel 4"/>
    <w:qFormat/>
    <w:rPr>
      <w:rFonts w:ascii="Arial" w:hAnsi="Arial" w:cs="Arial"/>
      <w:sz w:val="20"/>
      <w:szCs w:val="20"/>
    </w:rPr>
  </w:style>
  <w:style w:type="character" w:styleId="ListLabel5">
    <w:name w:val="ListLabel 5"/>
    <w:qFormat/>
    <w:rPr>
      <w:rFonts w:cs="Times New Roman"/>
      <w:sz w:val="20"/>
      <w:szCs w:val="20"/>
      <w:lang w:val="de-DE"/>
    </w:rPr>
  </w:style>
  <w:style w:type="character" w:styleId="ListLabel6">
    <w:name w:val="ListLabel 6"/>
    <w:qFormat/>
    <w:rPr>
      <w:rFonts w:cs="OpenSymbol;Arial Unicode MS"/>
      <w:b/>
      <w:sz w:val="20"/>
    </w:rPr>
  </w:style>
  <w:style w:type="character" w:styleId="ListLabel7">
    <w:name w:val="ListLabel 7"/>
    <w:qFormat/>
    <w:rPr>
      <w:rFonts w:ascii="Arial" w:hAnsi="Arial" w:cs="Arial"/>
      <w:sz w:val="20"/>
      <w:szCs w:val="20"/>
    </w:rPr>
  </w:style>
  <w:style w:type="character" w:styleId="ListLabel8">
    <w:name w:val="ListLabel 8"/>
    <w:qFormat/>
    <w:rPr>
      <w:rFonts w:cs="Times New Roman"/>
      <w:sz w:val="20"/>
      <w:szCs w:val="20"/>
      <w:lang w:val="de-DE"/>
    </w:rPr>
  </w:style>
  <w:style w:type="character" w:styleId="ListLabel9">
    <w:name w:val="ListLabel 9"/>
    <w:qFormat/>
    <w:rPr>
      <w:rFonts w:cs="OpenSymbol;Arial Unicode MS"/>
      <w:b/>
      <w:sz w:val="20"/>
    </w:rPr>
  </w:style>
  <w:style w:type="character" w:styleId="ListLabel10">
    <w:name w:val="ListLabel 10"/>
    <w:qFormat/>
    <w:rPr>
      <w:rFonts w:ascii="Times New Roman" w:hAnsi="Times New Roman" w:cs="Arial"/>
      <w:sz w:val="24"/>
      <w:szCs w:val="20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0"/>
      <w:lang w:val="de-DE"/>
    </w:rPr>
  </w:style>
  <w:style w:type="character" w:styleId="ListLabel12">
    <w:name w:val="ListLabel 12"/>
    <w:qFormat/>
    <w:rPr>
      <w:rFonts w:ascii="Times New Roman" w:hAnsi="Times New Roman" w:cs="OpenSymbol;Arial Unicode MS"/>
      <w:b/>
      <w:sz w:val="24"/>
    </w:rPr>
  </w:style>
  <w:style w:type="character" w:styleId="ListLabel13">
    <w:name w:val="ListLabel 13"/>
    <w:qFormat/>
    <w:rPr>
      <w:rFonts w:ascii="Times New Roman" w:hAnsi="Times New Roman" w:cs="Arial"/>
      <w:sz w:val="24"/>
      <w:szCs w:val="20"/>
    </w:rPr>
  </w:style>
  <w:style w:type="character" w:styleId="ListLabel14">
    <w:name w:val="ListLabel 14"/>
    <w:qFormat/>
    <w:rPr>
      <w:rFonts w:ascii="Times New Roman" w:hAnsi="Times New Roman" w:cs="Times New Roman"/>
      <w:sz w:val="24"/>
      <w:szCs w:val="20"/>
      <w:lang w:val="de-DE"/>
    </w:rPr>
  </w:style>
  <w:style w:type="character" w:styleId="ListLabel15">
    <w:name w:val="ListLabel 15"/>
    <w:qFormat/>
    <w:rPr>
      <w:rFonts w:ascii="Times New Roman" w:hAnsi="Times New Roman" w:cs="OpenSymbol;Arial Unicode MS"/>
      <w:b/>
      <w:sz w:val="24"/>
    </w:rPr>
  </w:style>
  <w:style w:type="character" w:styleId="ListLabel16">
    <w:name w:val="ListLabel 16"/>
    <w:qFormat/>
    <w:rPr>
      <w:rFonts w:cs="OpenSymbol;Arial Unicode MS"/>
      <w:b/>
      <w:sz w:val="24"/>
    </w:rPr>
  </w:style>
  <w:style w:type="character" w:styleId="ListLabel17">
    <w:name w:val="ListLabel 17"/>
    <w:qFormat/>
    <w:rPr>
      <w:rFonts w:cs="OpenSymbol;Arial Unicode MS"/>
      <w:b/>
      <w:sz w:val="24"/>
    </w:rPr>
  </w:style>
  <w:style w:type="character" w:styleId="ListLabel18">
    <w:name w:val="ListLabel 18"/>
    <w:qFormat/>
    <w:rPr>
      <w:rFonts w:cs="OpenSymbol;Arial Unicode MS"/>
      <w:b/>
      <w:sz w:val="24"/>
    </w:rPr>
  </w:style>
  <w:style w:type="character" w:styleId="ListLabel19">
    <w:name w:val="ListLabel 19"/>
    <w:qFormat/>
    <w:rPr>
      <w:rFonts w:cs="OpenSymbol;Arial Unicode MS"/>
      <w:b/>
      <w:sz w:val="24"/>
    </w:rPr>
  </w:style>
  <w:style w:type="character" w:styleId="ListLabel20">
    <w:name w:val="ListLabel 20"/>
    <w:qFormat/>
    <w:rPr>
      <w:rFonts w:cs="OpenSymbol;Arial Unicode MS"/>
      <w:b/>
      <w:sz w:val="24"/>
    </w:rPr>
  </w:style>
  <w:style w:type="character" w:styleId="ListLabel21">
    <w:name w:val="ListLabel 21"/>
    <w:qFormat/>
    <w:rPr>
      <w:rFonts w:cs="OpenSymbol;Arial Unicode MS"/>
      <w:b/>
      <w:sz w:val="24"/>
    </w:rPr>
  </w:style>
  <w:style w:type="character" w:styleId="ListLabel22">
    <w:name w:val="ListLabel 22"/>
    <w:qFormat/>
    <w:rPr>
      <w:rFonts w:cs="OpenSymbol;Arial Unicode MS"/>
      <w:b/>
      <w:sz w:val="24"/>
    </w:rPr>
  </w:style>
  <w:style w:type="character" w:styleId="ListLabel23">
    <w:name w:val="ListLabel 23"/>
    <w:qFormat/>
    <w:rPr>
      <w:rFonts w:cs="OpenSymbol;Arial Unicode MS"/>
      <w:b/>
      <w:sz w:val="24"/>
    </w:rPr>
  </w:style>
  <w:style w:type="character" w:styleId="ListLabel24">
    <w:name w:val="ListLabel 24"/>
    <w:qFormat/>
    <w:rPr>
      <w:rFonts w:ascii="Times New Roman" w:hAnsi="Times New Roman" w:cs="Arial"/>
      <w:sz w:val="24"/>
      <w:szCs w:val="20"/>
    </w:rPr>
  </w:style>
  <w:style w:type="character" w:styleId="ListLabel25">
    <w:name w:val="ListLabel 25"/>
    <w:qFormat/>
    <w:rPr>
      <w:rFonts w:ascii="Times New Roman" w:hAnsi="Times New Roman" w:cs="Times New Roman"/>
      <w:sz w:val="24"/>
      <w:szCs w:val="20"/>
      <w:lang w:val="de-DE"/>
    </w:rPr>
  </w:style>
  <w:style w:type="character" w:styleId="ListLabel26">
    <w:name w:val="ListLabel 26"/>
    <w:qFormat/>
    <w:rPr>
      <w:rFonts w:ascii="Times New Roman" w:hAnsi="Times New Roman" w:cs="OpenSymbol;Arial Unicode MS"/>
      <w:b/>
      <w:sz w:val="24"/>
    </w:rPr>
  </w:style>
  <w:style w:type="character" w:styleId="ListLabel27">
    <w:name w:val="ListLabel 27"/>
    <w:qFormat/>
    <w:rPr>
      <w:rFonts w:cs="OpenSymbol;Arial Unicode MS"/>
      <w:b/>
      <w:sz w:val="24"/>
    </w:rPr>
  </w:style>
  <w:style w:type="character" w:styleId="ListLabel28">
    <w:name w:val="ListLabel 28"/>
    <w:qFormat/>
    <w:rPr>
      <w:rFonts w:cs="OpenSymbol;Arial Unicode MS"/>
      <w:b/>
      <w:sz w:val="24"/>
    </w:rPr>
  </w:style>
  <w:style w:type="character" w:styleId="ListLabel29">
    <w:name w:val="ListLabel 29"/>
    <w:qFormat/>
    <w:rPr>
      <w:rFonts w:cs="OpenSymbol;Arial Unicode MS"/>
      <w:b/>
      <w:sz w:val="24"/>
    </w:rPr>
  </w:style>
  <w:style w:type="character" w:styleId="ListLabel30">
    <w:name w:val="ListLabel 30"/>
    <w:qFormat/>
    <w:rPr>
      <w:rFonts w:cs="OpenSymbol;Arial Unicode MS"/>
      <w:b/>
      <w:sz w:val="24"/>
    </w:rPr>
  </w:style>
  <w:style w:type="character" w:styleId="ListLabel31">
    <w:name w:val="ListLabel 31"/>
    <w:qFormat/>
    <w:rPr>
      <w:rFonts w:cs="OpenSymbol;Arial Unicode MS"/>
      <w:b/>
      <w:sz w:val="24"/>
    </w:rPr>
  </w:style>
  <w:style w:type="character" w:styleId="ListLabel32">
    <w:name w:val="ListLabel 32"/>
    <w:qFormat/>
    <w:rPr>
      <w:rFonts w:cs="OpenSymbol;Arial Unicode MS"/>
      <w:b/>
      <w:sz w:val="24"/>
    </w:rPr>
  </w:style>
  <w:style w:type="character" w:styleId="ListLabel33">
    <w:name w:val="ListLabel 33"/>
    <w:qFormat/>
    <w:rPr>
      <w:rFonts w:cs="OpenSymbol;Arial Unicode MS"/>
      <w:b/>
      <w:sz w:val="24"/>
    </w:rPr>
  </w:style>
  <w:style w:type="character" w:styleId="ListLabel34">
    <w:name w:val="ListLabel 34"/>
    <w:qFormat/>
    <w:rPr>
      <w:rFonts w:cs="OpenSymbol;Arial Unicode MS"/>
      <w:b/>
      <w:sz w:val="24"/>
    </w:rPr>
  </w:style>
  <w:style w:type="character" w:styleId="ListLabel35">
    <w:name w:val="ListLabel 35"/>
    <w:qFormat/>
    <w:rPr>
      <w:rFonts w:ascii="Times New Roman" w:hAnsi="Times New Roman" w:cs="Arial"/>
      <w:sz w:val="24"/>
      <w:szCs w:val="20"/>
    </w:rPr>
  </w:style>
  <w:style w:type="character" w:styleId="ListLabel36">
    <w:name w:val="ListLabel 36"/>
    <w:qFormat/>
    <w:rPr>
      <w:rFonts w:ascii="Times New Roman" w:hAnsi="Times New Roman" w:cs="Times New Roman"/>
      <w:sz w:val="24"/>
      <w:szCs w:val="20"/>
      <w:lang w:val="de-DE"/>
    </w:rPr>
  </w:style>
  <w:style w:type="character" w:styleId="ListLabel37">
    <w:name w:val="ListLabel 37"/>
    <w:qFormat/>
    <w:rPr>
      <w:rFonts w:ascii="Times New Roman" w:hAnsi="Times New Roman" w:cs="OpenSymbol;Arial Unicode MS"/>
      <w:b/>
      <w:sz w:val="24"/>
    </w:rPr>
  </w:style>
  <w:style w:type="character" w:styleId="ListLabel38">
    <w:name w:val="ListLabel 38"/>
    <w:qFormat/>
    <w:rPr>
      <w:rFonts w:cs="OpenSymbol;Arial Unicode MS"/>
      <w:b/>
      <w:sz w:val="24"/>
    </w:rPr>
  </w:style>
  <w:style w:type="character" w:styleId="ListLabel39">
    <w:name w:val="ListLabel 39"/>
    <w:qFormat/>
    <w:rPr>
      <w:rFonts w:cs="OpenSymbol;Arial Unicode MS"/>
      <w:b/>
      <w:sz w:val="24"/>
    </w:rPr>
  </w:style>
  <w:style w:type="character" w:styleId="ListLabel40">
    <w:name w:val="ListLabel 40"/>
    <w:qFormat/>
    <w:rPr>
      <w:rFonts w:cs="OpenSymbol;Arial Unicode MS"/>
      <w:b/>
      <w:sz w:val="24"/>
    </w:rPr>
  </w:style>
  <w:style w:type="character" w:styleId="ListLabel41">
    <w:name w:val="ListLabel 41"/>
    <w:qFormat/>
    <w:rPr>
      <w:rFonts w:cs="OpenSymbol;Arial Unicode MS"/>
      <w:b/>
      <w:sz w:val="24"/>
    </w:rPr>
  </w:style>
  <w:style w:type="character" w:styleId="ListLabel42">
    <w:name w:val="ListLabel 42"/>
    <w:qFormat/>
    <w:rPr>
      <w:rFonts w:cs="OpenSymbol;Arial Unicode MS"/>
      <w:b/>
      <w:sz w:val="24"/>
    </w:rPr>
  </w:style>
  <w:style w:type="character" w:styleId="ListLabel43">
    <w:name w:val="ListLabel 43"/>
    <w:qFormat/>
    <w:rPr>
      <w:rFonts w:cs="OpenSymbol;Arial Unicode MS"/>
      <w:b/>
      <w:sz w:val="24"/>
    </w:rPr>
  </w:style>
  <w:style w:type="character" w:styleId="ListLabel44">
    <w:name w:val="ListLabel 44"/>
    <w:qFormat/>
    <w:rPr>
      <w:rFonts w:cs="OpenSymbol;Arial Unicode MS"/>
      <w:b/>
      <w:sz w:val="24"/>
    </w:rPr>
  </w:style>
  <w:style w:type="character" w:styleId="ListLabel45">
    <w:name w:val="ListLabel 45"/>
    <w:qFormat/>
    <w:rPr>
      <w:rFonts w:cs="OpenSymbol;Arial Unicode MS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Arial" w:cs="Arial"/>
      <w:color w:val="000000"/>
      <w:sz w:val="24"/>
      <w:szCs w:val="24"/>
      <w:lang w:val="pl-PL" w:eastAsia="zh-CN" w:bidi="ar-SA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Application>LibreOffice/5.0.6.3$Windows_x86 LibreOffice_project/490fc03b25318460cfc54456516ea2519c11d1aa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2013-05-14T09:40:08Z</dcterms:created>
  <dc:language>pl-PL</dc:language>
  <dcterms:modified xsi:type="dcterms:W3CDTF">2017-07-17T13:48:35Z</dcterms:modified>
  <cp:revision>64</cp:revision>
</cp:coreProperties>
</file>